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99"/>
        <w:ind w:left="5103" w:right="-1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Приложение 2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699"/>
        <w:ind w:left="5103" w:right="-1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к Закону Московской области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699"/>
        <w:ind w:left="5103" w:right="-1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«О внесении изменений в Закон Московской области «О бюджете Территориального фонда обязательного медицинского страхования Московской области на 2026 год и на плановый период 2027 и 2028 годов»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ind w:left="5103" w:right="-144"/>
        <w:jc w:val="both"/>
        <w:widowControl/>
        <w:rPr>
          <w:sz w:val="24"/>
          <w:szCs w:val="24"/>
        </w:rPr>
        <w:outlineLvl w:val="0"/>
      </w:pPr>
      <w:r>
        <w:rPr>
          <w:sz w:val="24"/>
          <w:szCs w:val="22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103" w:right="-144"/>
        <w:jc w:val="both"/>
        <w:widowControl/>
        <w:rPr>
          <w:sz w:val="24"/>
          <w:szCs w:val="24"/>
          <w:highlight w:val="none"/>
        </w:rPr>
        <w:outlineLvl w:val="0"/>
      </w:pPr>
      <w:r>
        <w:rPr>
          <w:sz w:val="24"/>
          <w:szCs w:val="22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5103" w:right="-144"/>
        <w:jc w:val="both"/>
        <w:widowControl/>
        <w:rPr>
          <w:sz w:val="24"/>
          <w:szCs w:val="24"/>
          <w:highlight w:val="none"/>
        </w:rPr>
        <w:outlineLvl w:val="0"/>
      </w:pPr>
      <w:r>
        <w:rPr>
          <w:sz w:val="24"/>
          <w:szCs w:val="22"/>
        </w:rPr>
        <w:t xml:space="preserve">«Приложение 2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5103" w:right="-144"/>
        <w:jc w:val="both"/>
        <w:widowControl/>
        <w:rPr>
          <w:sz w:val="24"/>
          <w:szCs w:val="22"/>
        </w:rPr>
      </w:pPr>
      <w:r>
        <w:rPr>
          <w:sz w:val="24"/>
          <w:szCs w:val="22"/>
        </w:rPr>
        <w:t xml:space="preserve">к Закону Московской области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ind w:left="5103" w:right="-1"/>
        <w:jc w:val="both"/>
        <w:widowControl/>
        <w:rPr>
          <w:sz w:val="24"/>
          <w:szCs w:val="22"/>
        </w:rPr>
      </w:pPr>
      <w:r>
        <w:rPr>
          <w:sz w:val="24"/>
          <w:szCs w:val="22"/>
        </w:rPr>
        <w:t xml:space="preserve">«О бюджете Территориального фонда обязательного медицинского страхования Московской области на 2026 год </w:t>
      </w:r>
      <w:r>
        <w:rPr>
          <w:sz w:val="24"/>
          <w:szCs w:val="22"/>
        </w:rPr>
        <w:br w:type="textWrapping" w:clear="all"/>
      </w:r>
      <w:r>
        <w:rPr>
          <w:sz w:val="24"/>
          <w:szCs w:val="22"/>
        </w:rPr>
        <w:t xml:space="preserve">и на плановый период 2027 и 2028 годов»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ind w:left="4860" w:right="-257"/>
        <w:jc w:val="both"/>
        <w:widowControl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860" w:right="-257"/>
        <w:jc w:val="both"/>
        <w:widowControl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18" w:right="1418"/>
        <w:jc w:val="center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Поступления доходов в бюджет </w:t>
      </w:r>
      <w:r>
        <w:rPr>
          <w:b/>
          <w:bCs/>
          <w:sz w:val="28"/>
          <w:szCs w:val="28"/>
        </w:rPr>
        <w:t xml:space="preserve">Территориального фонда обязательного медицинского страхования Московской области на плановый период </w:t>
      </w:r>
      <w:r>
        <w:rPr>
          <w:b/>
          <w:bCs/>
          <w:sz w:val="28"/>
          <w:szCs w:val="28"/>
        </w:rPr>
        <w:br/>
      </w:r>
      <w:bookmarkStart w:id="0" w:name="undefined"/>
      <w:r/>
      <w:bookmarkEnd w:id="0"/>
      <w:r>
        <w:rPr>
          <w:b/>
          <w:bCs/>
          <w:sz w:val="28"/>
          <w:szCs w:val="28"/>
        </w:rPr>
        <w:t xml:space="preserve">2027 и 2028 годов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1418" w:right="1416"/>
        <w:jc w:val="both"/>
        <w:widowControl/>
        <w:tabs>
          <w:tab w:val="left" w:pos="8222" w:leader="non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tbl>
      <w:tblPr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261"/>
        <w:gridCol w:w="2992"/>
        <w:gridCol w:w="1701"/>
        <w:gridCol w:w="1701"/>
      </w:tblGrid>
      <w:tr>
        <w:tblPrEx/>
        <w:trPr>
          <w:tblHeader/>
        </w:trPr>
        <w:tc>
          <w:tcPr>
            <w:tcW w:w="3261" w:type="dxa"/>
            <w:vMerge w:val="restart"/>
            <w:textDirection w:val="lrTb"/>
            <w:noWrap w:val="false"/>
          </w:tcPr>
          <w:p>
            <w:pPr>
              <w:ind w:right="34"/>
              <w:widowControl/>
              <w:tabs>
                <w:tab w:val="left" w:pos="567" w:leader="none"/>
                <w:tab w:val="left" w:pos="601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Коды бюджетной классификации Российской Федерации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right="34"/>
              <w:jc w:val="center"/>
              <w:widowControl/>
              <w:tabs>
                <w:tab w:val="left" w:pos="567" w:leader="none"/>
                <w:tab w:val="left" w:pos="601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992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Наименования доходов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3402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Сумма (тыс. рублей)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3261" w:type="dxa"/>
            <w:vMerge w:val="continue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  <w:tab w:val="left" w:pos="601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992" w:type="dxa"/>
            <w:vMerge w:val="continue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2027 год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ind w:left="-108"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2028 год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rPr>
          <w:vanish/>
          <w:sz w:val="2"/>
        </w:rPr>
      </w:pPr>
      <w:r>
        <w:rPr>
          <w:vanish/>
          <w:sz w:val="2"/>
        </w:rPr>
      </w:r>
      <w:r>
        <w:rPr>
          <w:vanish/>
          <w:sz w:val="2"/>
        </w:rPr>
      </w:r>
      <w:r>
        <w:rPr>
          <w:vanish/>
          <w:sz w:val="2"/>
        </w:rPr>
      </w:r>
    </w:p>
    <w:tbl>
      <w:tblPr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261"/>
        <w:gridCol w:w="2992"/>
        <w:gridCol w:w="1701"/>
        <w:gridCol w:w="1701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  <w:tab w:val="left" w:pos="601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92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left="-392"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  <w:tab w:val="left" w:pos="601" w:leader="none"/>
                <w:tab w:val="left" w:pos="3045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000 1 00 00000 00 0000 000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92" w:type="dxa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НАЛОГОВЫЕ И НЕНАЛОГОВЫЕ ДОХОДЫ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widowControl/>
              <w:tabs>
                <w:tab w:val="left" w:pos="567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769 212,5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799 981,0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  <w:tab w:val="left" w:pos="601" w:leader="none"/>
                <w:tab w:val="left" w:pos="3045" w:leader="none"/>
              </w:tabs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 xml:space="preserve">000 1 </w:t>
            </w:r>
            <w:r>
              <w:rPr>
                <w:bCs/>
                <w:sz w:val="24"/>
                <w:szCs w:val="24"/>
                <w:lang w:val="en-US"/>
              </w:rPr>
              <w:t xml:space="preserve">13 00000 00 0000 000</w:t>
            </w:r>
            <w:r>
              <w:rPr>
                <w:bCs/>
                <w:sz w:val="24"/>
                <w:szCs w:val="24"/>
                <w:lang w:val="en-US"/>
              </w:rPr>
            </w:r>
            <w:r>
              <w:rPr>
                <w:bCs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92" w:type="dxa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ДОХОДЫ ОТ ОКАЗАНИЯ ПЛАТНЫХ УСЛУГ И КОМПЕНСАЦИИ ЗАТРАТ ГОСУДАРСТВА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21 664,8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22 531,4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  <w:tab w:val="left" w:pos="601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000 1 13 02000 00 0000 130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92" w:type="dxa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 от компенсации затрат государства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tabs>
                <w:tab w:val="left" w:pos="56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21 664,8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22 531,4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  <w:tab w:val="left" w:pos="601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000 1 13 02990 00 0000 130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92" w:type="dxa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доходы от компенсации затрат государства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tabs>
                <w:tab w:val="left" w:pos="56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21 664,8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22 531,4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  <w:tab w:val="left" w:pos="601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395 1 13 02999 0</w:t>
            </w:r>
            <w:r>
              <w:rPr>
                <w:bCs/>
                <w:sz w:val="24"/>
                <w:szCs w:val="24"/>
              </w:rPr>
              <w:t xml:space="preserve">9</w:t>
            </w:r>
            <w:r>
              <w:rPr>
                <w:bCs/>
                <w:sz w:val="24"/>
                <w:szCs w:val="24"/>
                <w:lang w:val="en-US"/>
              </w:rPr>
              <w:t xml:space="preserve"> 0000 130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92" w:type="dxa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доходы от компенсации затрат бюджетов территориальных фондов обязательного медицинского страхования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tabs>
                <w:tab w:val="left" w:pos="56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tabs>
                <w:tab w:val="left" w:pos="56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21 664,8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22 531,4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  <w:tab w:val="left" w:pos="601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000</w:t>
            </w:r>
            <w:r>
              <w:rPr>
                <w:bCs/>
                <w:sz w:val="24"/>
                <w:szCs w:val="24"/>
              </w:rPr>
              <w:t xml:space="preserve"> 1 16 00000 00 0000 000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92" w:type="dxa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ШТРАФЫ, САНКЦИИ, ВОЗМЕЩЕНИЕ УЩЕРБА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23 072,6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23 995,5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52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000 1 16 07000 00 0000 140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92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</w:t>
            </w:r>
            <w:r>
              <w:rPr>
                <w:bCs/>
                <w:sz w:val="24"/>
                <w:szCs w:val="24"/>
              </w:rPr>
              <w:t xml:space="preserve">дением, Центральным банком Российской Федерации, иной организацией, действующей от имени Российской Федерации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18 774,3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 xml:space="preserve">19 525,3</w:t>
            </w:r>
            <w:r>
              <w:rPr>
                <w:bCs/>
                <w:sz w:val="24"/>
                <w:szCs w:val="24"/>
                <w:lang w:val="en-US"/>
              </w:rPr>
            </w:r>
            <w:r>
              <w:rPr>
                <w:bCs/>
                <w:sz w:val="24"/>
                <w:szCs w:val="24"/>
                <w:lang w:val="en-US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000 1 16 07010 00 0000 140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92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Штрафы, неустойки, пени, уплаченные в случае просрочки исполнения поставщиком (подрядчиком, исполнит</w:t>
            </w:r>
            <w:r>
              <w:rPr>
                <w:bCs/>
                <w:sz w:val="24"/>
                <w:szCs w:val="24"/>
              </w:rPr>
              <w:t xml:space="preserve">елем) обязательств, предусмотренных государственным (муниципальным) контрактом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248,1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258,0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4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jc w:val="center"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395 1 16 07010 09 0000 140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92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территориальным фондом обязательного медицинского страхования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248,1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258,0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000 1 16 07090 00 0000 140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92" w:type="dxa"/>
            <w:textDirection w:val="lrTb"/>
            <w:noWrap w:val="false"/>
          </w:tcPr>
          <w:p>
            <w:pPr>
              <w:widowControl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</w:t>
            </w:r>
            <w:r>
              <w:rPr>
                <w:sz w:val="24"/>
                <w:szCs w:val="24"/>
              </w:rPr>
              <w:t xml:space="preserve">перед государственным (муниципальным) органом, казенным учреждением, Центральным банк</w:t>
            </w:r>
            <w:r>
              <w:rPr>
                <w:sz w:val="24"/>
                <w:szCs w:val="24"/>
              </w:rPr>
              <w:t xml:space="preserve">ом Российской Федерации, государственной корпорацией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18 526,2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19 267,3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395 1 16 07090 09 0000 140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92" w:type="dxa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18 526,2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19 267,3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1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jc w:val="center"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000 1 16 10000 00 0000 14</w:t>
            </w:r>
            <w:r>
              <w:rPr>
                <w:bCs/>
                <w:sz w:val="24"/>
                <w:szCs w:val="24"/>
              </w:rPr>
              <w:t xml:space="preserve">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92" w:type="dxa"/>
            <w:textDirection w:val="lrTb"/>
            <w:noWrap w:val="false"/>
          </w:tcPr>
          <w:p>
            <w:pPr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Платежи в целях возмещения причиненного ущерба (убытков)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4 298,3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4 470,2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0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jc w:val="center"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000 1 16 10100 00 0000 140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92" w:type="dxa"/>
            <w:textDirection w:val="lrTb"/>
            <w:noWrap w:val="false"/>
          </w:tcPr>
          <w:p>
            <w:pPr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4 298,3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4 470,2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50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jc w:val="center"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395 1 16 10100 09 0000 140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92" w:type="dxa"/>
            <w:textDirection w:val="lrTb"/>
            <w:noWrap w:val="false"/>
          </w:tcPr>
          <w:p>
            <w:pPr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4 298,3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 </w:t>
            </w:r>
            <w:r>
              <w:rPr>
                <w:bCs/>
                <w:sz w:val="24"/>
                <w:szCs w:val="24"/>
              </w:rPr>
              <w:t xml:space="preserve">470,2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  <w:tab w:val="left" w:pos="601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000 1 17 00000 00 0000 000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92" w:type="dxa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 xml:space="preserve">ПРОЧИЕ НЕНАЛОГОВЫЕ ДОХОДЫ</w:t>
            </w:r>
            <w:r>
              <w:rPr>
                <w:bCs/>
                <w:sz w:val="24"/>
                <w:szCs w:val="24"/>
                <w:lang w:val="en-US"/>
              </w:rPr>
            </w:r>
            <w:r>
              <w:rPr>
                <w:bCs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724 475,1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753 454,1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000 1 17 06000 00 0000 180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92" w:type="dxa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4"/>
                <w:szCs w:val="24"/>
              </w:rPr>
              <w:t xml:space="preserve">Прочие неналоговые поступления в бюджеты государственных внебюджетных фондов</w:t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724 475,1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753 454,1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395 1 17 06040 09 0000 180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92" w:type="dxa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неналоговые поступления в территориальные фонды </w:t>
            </w:r>
            <w:r>
              <w:rPr>
                <w:sz w:val="24"/>
                <w:szCs w:val="24"/>
              </w:rPr>
              <w:t xml:space="preserve">обязательного медицинского страхования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724 475,1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753 454,1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  <w:tab w:val="left" w:pos="601" w:leader="none"/>
                <w:tab w:val="left" w:pos="3045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000 2 00 00000 00 0000 000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92" w:type="dxa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 xml:space="preserve">БЕЗВОЗМЕЗДНЫЕ ПОСТУПЛЕНИЯ</w:t>
            </w:r>
            <w:r>
              <w:rPr>
                <w:b/>
                <w:bCs/>
                <w:sz w:val="24"/>
                <w:szCs w:val="24"/>
                <w:lang w:val="en-US"/>
              </w:rPr>
            </w:r>
            <w:r>
              <w:rPr>
                <w:b/>
                <w:bCs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251 989 905,2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268 326 133,6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13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jc w:val="center"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000 2 02 00000 00 0000 </w:t>
            </w:r>
            <w:r>
              <w:rPr>
                <w:bCs/>
                <w:sz w:val="24"/>
                <w:szCs w:val="24"/>
                <w:lang w:val="en-US"/>
              </w:rPr>
              <w:t xml:space="preserve">000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92" w:type="dxa"/>
            <w:textDirection w:val="lrTb"/>
            <w:noWrap w:val="false"/>
          </w:tcPr>
          <w:p>
            <w:pPr>
              <w:pStyle w:val="886"/>
              <w:rPr>
                <w:bCs/>
              </w:rPr>
            </w:pPr>
            <w:r>
              <w:rPr>
                <w:bCs/>
              </w:rPr>
              <w:t xml:space="preserve">БЕЗВОЗМЕЗДНЫЕ ПОСТУПЛЕНИЯ ОТ ДРУГИХ БЮДЖЕТОВ БЮДЖЕТНОЙ СИСТЕМЫ РОССИЙСКОЙ ФЕДЕРАЦИИ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251 989 905,2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268 326 133,6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000 2 02 50000 00 0000 150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92" w:type="dxa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Межбюджетные трансферты, передаваемые бюджетам государственных внебюджетных фондов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249 459 491,2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265 795 660,6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vMerge w:val="restart"/>
            <w:textDirection w:val="lrTb"/>
            <w:noWrap w:val="false"/>
          </w:tcPr>
          <w:p>
            <w:pPr>
              <w:pStyle w:val="699"/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395 2 02 50202 09 0000 150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699"/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92" w:type="dxa"/>
            <w:vMerge w:val="restart"/>
            <w:textDirection w:val="lrTb"/>
            <w:noWrap w:val="false"/>
          </w:tcPr>
          <w:p>
            <w:pPr>
              <w:pStyle w:val="699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Межбюджетные трансферты из бюджетов субъектов Российской Федерации, </w:t>
            </w:r>
            <w:r>
              <w:rPr>
                <w:bCs/>
                <w:sz w:val="24"/>
                <w:szCs w:val="24"/>
              </w:rPr>
              <w:t xml:space="preserve">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699"/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3 666 589,0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3 666 589,0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395 2 02 50203 09 0000 150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92" w:type="dxa"/>
            <w:vMerge w:val="restart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Межбюджетные трансферты из бюджетов субъектов Российской Федерации, передаваемые территориальным фондам обязательного медицинского страхования на финансовое обеспечение дополнительных видов и условий оказания медицинской помощи, </w:t>
            </w:r>
            <w:r>
              <w:rPr>
                <w:bCs/>
                <w:sz w:val="24"/>
                <w:szCs w:val="24"/>
              </w:rPr>
              <w:t xml:space="preserve">не установленных базовой программой обязательного медицинского страхования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18 285 872,0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18 399 593,0</w:t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395 2 02 55093 09 0000 150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92" w:type="dxa"/>
            <w:textDirection w:val="lrTb"/>
            <w:noWrap w:val="false"/>
          </w:tcPr>
          <w:p>
            <w:pPr>
              <w:widowControl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213 058 576,3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228 703 086,5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10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000 2 02 59999 00 0000 150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92" w:type="dxa"/>
            <w:textDirection w:val="lrTb"/>
            <w:noWrap w:val="false"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Прочие межбюджетные трансферты, передаваемые бюджетам государственных внебюджетных фондов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14 448 453,9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15 026 392,1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118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395 2 02 59999 09 0000 150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92" w:type="dxa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Прочие межбюджетные трансферты, передаваемые бюджетам территориальных фондов обязательного медицинского страхования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14 448 453,9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15 026 392,1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105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ind w:right="34"/>
              <w:jc w:val="center"/>
              <w:tabs>
                <w:tab w:val="left" w:pos="567" w:leader="none"/>
              </w:tabs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000</w:t>
            </w:r>
            <w:r>
              <w:rPr>
                <w:bCs/>
                <w:sz w:val="24"/>
                <w:szCs w:val="24"/>
              </w:rPr>
              <w:t xml:space="preserve"> 2 02 </w:t>
            </w:r>
            <w:r>
              <w:rPr>
                <w:bCs/>
                <w:sz w:val="24"/>
                <w:szCs w:val="24"/>
                <w:lang w:val="en-US"/>
              </w:rPr>
              <w:t xml:space="preserve">9</w:t>
            </w:r>
            <w:r>
              <w:rPr>
                <w:bCs/>
                <w:sz w:val="24"/>
                <w:szCs w:val="24"/>
              </w:rPr>
              <w:t xml:space="preserve">0</w:t>
            </w:r>
            <w:r>
              <w:rPr>
                <w:bCs/>
                <w:sz w:val="24"/>
                <w:szCs w:val="24"/>
                <w:lang w:val="en-US"/>
              </w:rPr>
              <w:t xml:space="preserve">000</w:t>
            </w:r>
            <w:r>
              <w:rPr>
                <w:bCs/>
                <w:sz w:val="24"/>
                <w:szCs w:val="24"/>
              </w:rPr>
              <w:t xml:space="preserve"> 00 0000 150</w:t>
            </w:r>
            <w:r>
              <w:rPr>
                <w:bCs/>
                <w:sz w:val="24"/>
                <w:szCs w:val="24"/>
                <w:lang w:val="en-US"/>
              </w:rPr>
            </w:r>
            <w:r>
              <w:rPr>
                <w:bCs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92" w:type="dxa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Прочие безвозмездные поступления 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от других бюджетов бюджетной системы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2 530 414,0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2 530 473,0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000 2 02 90020 00 0000 150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92" w:type="dxa"/>
            <w:textDirection w:val="lrTb"/>
            <w:noWrap w:val="false"/>
          </w:tcPr>
          <w:p>
            <w:pPr>
              <w:widowControl/>
              <w:rPr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Прочие безвозмездные поступления от бюджетов субъектов Российской Федерации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2 530 414,0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2 530 473,0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ind w:right="34"/>
              <w:jc w:val="center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395 2 02 90029 09 0000 150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92" w:type="dxa"/>
            <w:textDirection w:val="lrTb"/>
            <w:noWrap w:val="false"/>
          </w:tcPr>
          <w:p>
            <w:pPr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Прочие безвозмездные поступления 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в территориальные фонды обязательного медицинского страхования от бюджетов субъектов Российской Федерации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2 530 414,0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2 530 473,0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ind w:right="-108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92" w:type="dxa"/>
            <w:textDirection w:val="lrTb"/>
            <w:noWrap w:val="false"/>
          </w:tcPr>
          <w:p>
            <w:pPr>
              <w:ind w:right="-108"/>
              <w:widowControl/>
              <w:tabs>
                <w:tab w:val="left" w:pos="567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ВСЕГО ДОХОДОВ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252 759 117,7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269 126 114,6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</w:tbl>
    <w:p>
      <w:pPr>
        <w:pStyle w:val="699"/>
        <w:ind w:right="-144"/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».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r/>
      <w:r/>
    </w:p>
    <w:sectPr>
      <w:headerReference w:type="default" r:id="rId8"/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Calibri Light">
    <w:panose1 w:val="020F03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1"/>
      <w:rPr>
        <w:rStyle w:val="881"/>
      </w:rPr>
      <w:framePr w:wrap="auto" w:vAnchor="text" w:hAnchor="margin" w:xAlign="center" w:y="1"/>
    </w:pPr>
    <w:r>
      <w:rPr>
        <w:rStyle w:val="881"/>
      </w:rPr>
      <w:fldChar w:fldCharType="begin"/>
    </w:r>
    <w:r>
      <w:rPr>
        <w:rStyle w:val="881"/>
      </w:rPr>
      <w:instrText xml:space="preserve">PAGE  </w:instrText>
    </w:r>
    <w:r>
      <w:rPr>
        <w:rStyle w:val="881"/>
      </w:rPr>
      <w:fldChar w:fldCharType="separate"/>
    </w:r>
    <w:r>
      <w:rPr>
        <w:rStyle w:val="881"/>
      </w:rPr>
      <w:t xml:space="preserve">2</w:t>
    </w:r>
    <w:r>
      <w:rPr>
        <w:rStyle w:val="881"/>
      </w:rPr>
      <w:fldChar w:fldCharType="end"/>
    </w:r>
    <w:r>
      <w:rPr>
        <w:rStyle w:val="881"/>
      </w:rPr>
    </w:r>
    <w:r>
      <w:rPr>
        <w:rStyle w:val="881"/>
      </w:rPr>
    </w:r>
  </w:p>
  <w:p>
    <w:pPr>
      <w:pStyle w:val="731"/>
      <w:rPr>
        <w:rStyle w:val="881"/>
      </w:rPr>
      <w:framePr w:wrap="auto" w:vAnchor="text" w:hAnchor="page" w:x="6382" w:y="1"/>
    </w:pPr>
    <w:r>
      <w:rPr>
        <w:rStyle w:val="881"/>
      </w:rPr>
    </w:r>
    <w:r>
      <w:rPr>
        <w:rStyle w:val="881"/>
      </w:rPr>
    </w:r>
    <w:r>
      <w:rPr>
        <w:rStyle w:val="881"/>
      </w:rPr>
    </w:r>
  </w:p>
  <w:p>
    <w:pPr>
      <w:pStyle w:val="731"/>
      <w:jc w:val="center"/>
      <w:rPr>
        <w:lang w:val="en-US"/>
      </w:rPr>
    </w:pPr>
    <w:r>
      <w:rPr>
        <w:lang w:val="en-US"/>
      </w:rPr>
    </w:r>
    <w:r>
      <w:rPr>
        <w:lang w:val="en-US"/>
      </w:rPr>
    </w:r>
    <w:r>
      <w:rPr>
        <w:lang w:val="en-US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3">
    <w:name w:val="Heading 2 Char"/>
    <w:basedOn w:val="709"/>
    <w:link w:val="701"/>
    <w:uiPriority w:val="9"/>
    <w:rPr>
      <w:rFonts w:ascii="Arial" w:hAnsi="Arial" w:eastAsia="Arial" w:cs="Arial"/>
      <w:sz w:val="34"/>
    </w:rPr>
  </w:style>
  <w:style w:type="character" w:styleId="684">
    <w:name w:val="Heading 3 Char"/>
    <w:basedOn w:val="709"/>
    <w:link w:val="702"/>
    <w:uiPriority w:val="9"/>
    <w:rPr>
      <w:rFonts w:ascii="Arial" w:hAnsi="Arial" w:eastAsia="Arial" w:cs="Arial"/>
      <w:sz w:val="30"/>
      <w:szCs w:val="30"/>
    </w:rPr>
  </w:style>
  <w:style w:type="character" w:styleId="685">
    <w:name w:val="Heading 4 Char"/>
    <w:basedOn w:val="709"/>
    <w:link w:val="703"/>
    <w:uiPriority w:val="9"/>
    <w:rPr>
      <w:rFonts w:ascii="Arial" w:hAnsi="Arial" w:eastAsia="Arial" w:cs="Arial"/>
      <w:b/>
      <w:bCs/>
      <w:sz w:val="26"/>
      <w:szCs w:val="26"/>
    </w:rPr>
  </w:style>
  <w:style w:type="character" w:styleId="686">
    <w:name w:val="Heading 5 Char"/>
    <w:basedOn w:val="709"/>
    <w:link w:val="704"/>
    <w:uiPriority w:val="9"/>
    <w:rPr>
      <w:rFonts w:ascii="Arial" w:hAnsi="Arial" w:eastAsia="Arial" w:cs="Arial"/>
      <w:b/>
      <w:bCs/>
      <w:sz w:val="24"/>
      <w:szCs w:val="24"/>
    </w:rPr>
  </w:style>
  <w:style w:type="character" w:styleId="687">
    <w:name w:val="Heading 6 Char"/>
    <w:basedOn w:val="709"/>
    <w:link w:val="705"/>
    <w:uiPriority w:val="9"/>
    <w:rPr>
      <w:rFonts w:ascii="Arial" w:hAnsi="Arial" w:eastAsia="Arial" w:cs="Arial"/>
      <w:b/>
      <w:bCs/>
      <w:sz w:val="22"/>
      <w:szCs w:val="22"/>
    </w:rPr>
  </w:style>
  <w:style w:type="character" w:styleId="688">
    <w:name w:val="Heading 7 Char"/>
    <w:basedOn w:val="709"/>
    <w:link w:val="7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9">
    <w:name w:val="Heading 8 Char"/>
    <w:basedOn w:val="709"/>
    <w:link w:val="707"/>
    <w:uiPriority w:val="9"/>
    <w:rPr>
      <w:rFonts w:ascii="Arial" w:hAnsi="Arial" w:eastAsia="Arial" w:cs="Arial"/>
      <w:i/>
      <w:iCs/>
      <w:sz w:val="22"/>
      <w:szCs w:val="22"/>
    </w:rPr>
  </w:style>
  <w:style w:type="character" w:styleId="690">
    <w:name w:val="Title Char"/>
    <w:basedOn w:val="709"/>
    <w:link w:val="723"/>
    <w:uiPriority w:val="10"/>
    <w:rPr>
      <w:sz w:val="48"/>
      <w:szCs w:val="48"/>
    </w:rPr>
  </w:style>
  <w:style w:type="character" w:styleId="691">
    <w:name w:val="Subtitle Char"/>
    <w:basedOn w:val="709"/>
    <w:link w:val="725"/>
    <w:uiPriority w:val="11"/>
    <w:rPr>
      <w:sz w:val="24"/>
      <w:szCs w:val="24"/>
    </w:rPr>
  </w:style>
  <w:style w:type="character" w:styleId="692">
    <w:name w:val="Quote Char"/>
    <w:link w:val="727"/>
    <w:uiPriority w:val="29"/>
    <w:rPr>
      <w:i/>
    </w:rPr>
  </w:style>
  <w:style w:type="character" w:styleId="693">
    <w:name w:val="Intense Quote Char"/>
    <w:link w:val="729"/>
    <w:uiPriority w:val="30"/>
    <w:rPr>
      <w:i/>
    </w:rPr>
  </w:style>
  <w:style w:type="character" w:styleId="694">
    <w:name w:val="Header Char"/>
    <w:basedOn w:val="709"/>
    <w:link w:val="731"/>
    <w:uiPriority w:val="99"/>
  </w:style>
  <w:style w:type="character" w:styleId="695">
    <w:name w:val="Footer Char"/>
    <w:basedOn w:val="709"/>
    <w:link w:val="733"/>
    <w:uiPriority w:val="99"/>
  </w:style>
  <w:style w:type="character" w:styleId="696">
    <w:name w:val="Caption Char"/>
    <w:basedOn w:val="709"/>
    <w:link w:val="735"/>
    <w:uiPriority w:val="35"/>
    <w:rPr>
      <w:b/>
      <w:bCs/>
      <w:color w:val="4f81bd" w:themeColor="accent1"/>
      <w:sz w:val="18"/>
      <w:szCs w:val="18"/>
    </w:rPr>
  </w:style>
  <w:style w:type="character" w:styleId="697">
    <w:name w:val="Footnote Text Char"/>
    <w:link w:val="864"/>
    <w:uiPriority w:val="99"/>
    <w:rPr>
      <w:sz w:val="18"/>
    </w:rPr>
  </w:style>
  <w:style w:type="character" w:styleId="698">
    <w:name w:val="Endnote Text Char"/>
    <w:link w:val="867"/>
    <w:uiPriority w:val="99"/>
    <w:rPr>
      <w:sz w:val="20"/>
    </w:rPr>
  </w:style>
  <w:style w:type="paragraph" w:styleId="699" w:default="1">
    <w:name w:val="Normal"/>
    <w:qFormat/>
    <w:pPr>
      <w:widowControl w:val="off"/>
    </w:pPr>
  </w:style>
  <w:style w:type="paragraph" w:styleId="700">
    <w:name w:val="Heading 1"/>
    <w:basedOn w:val="699"/>
    <w:next w:val="699"/>
    <w:link w:val="884"/>
    <w:qFormat/>
    <w:pPr>
      <w:ind w:left="5580" w:right="-257"/>
      <w:jc w:val="both"/>
      <w:keepNext/>
      <w:widowControl/>
      <w:outlineLvl w:val="0"/>
    </w:pPr>
    <w:rPr>
      <w:sz w:val="24"/>
      <w:szCs w:val="24"/>
      <w:lang w:val="en-US" w:eastAsia="en-US"/>
    </w:rPr>
  </w:style>
  <w:style w:type="paragraph" w:styleId="701">
    <w:name w:val="Heading 2"/>
    <w:basedOn w:val="699"/>
    <w:next w:val="699"/>
    <w:link w:val="71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02">
    <w:name w:val="Heading 3"/>
    <w:basedOn w:val="699"/>
    <w:next w:val="699"/>
    <w:link w:val="71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03">
    <w:name w:val="Heading 4"/>
    <w:basedOn w:val="699"/>
    <w:next w:val="699"/>
    <w:link w:val="71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04">
    <w:name w:val="Heading 5"/>
    <w:basedOn w:val="699"/>
    <w:next w:val="699"/>
    <w:link w:val="71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05">
    <w:name w:val="Heading 6"/>
    <w:basedOn w:val="699"/>
    <w:next w:val="699"/>
    <w:link w:val="71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06">
    <w:name w:val="Heading 7"/>
    <w:basedOn w:val="699"/>
    <w:next w:val="699"/>
    <w:link w:val="71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7">
    <w:name w:val="Heading 8"/>
    <w:basedOn w:val="699"/>
    <w:next w:val="699"/>
    <w:link w:val="71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08">
    <w:name w:val="Heading 9"/>
    <w:basedOn w:val="699"/>
    <w:next w:val="699"/>
    <w:link w:val="885"/>
    <w:unhideWhenUsed/>
    <w:qFormat/>
    <w:pPr>
      <w:spacing w:before="240" w:after="60"/>
      <w:outlineLvl w:val="8"/>
    </w:pPr>
    <w:rPr>
      <w:rFonts w:ascii="Calibri Light" w:hAnsi="Calibri Light"/>
      <w:sz w:val="22"/>
      <w:szCs w:val="22"/>
      <w:lang w:val="en-US" w:eastAsia="en-US"/>
    </w:rPr>
  </w:style>
  <w:style w:type="character" w:styleId="709" w:default="1">
    <w:name w:val="Default Paragraph Font"/>
    <w:uiPriority w:val="1"/>
    <w:semiHidden/>
    <w:unhideWhenUsed/>
  </w:style>
  <w:style w:type="table" w:styleId="71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1" w:default="1">
    <w:name w:val="No List"/>
    <w:uiPriority w:val="99"/>
    <w:semiHidden/>
    <w:unhideWhenUsed/>
  </w:style>
  <w:style w:type="character" w:styleId="712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13" w:customStyle="1">
    <w:name w:val="Заголовок 2 Знак"/>
    <w:link w:val="701"/>
    <w:uiPriority w:val="9"/>
    <w:rPr>
      <w:rFonts w:ascii="Arial" w:hAnsi="Arial" w:eastAsia="Arial" w:cs="Arial"/>
      <w:sz w:val="34"/>
    </w:rPr>
  </w:style>
  <w:style w:type="character" w:styleId="714" w:customStyle="1">
    <w:name w:val="Заголовок 3 Знак"/>
    <w:link w:val="702"/>
    <w:uiPriority w:val="9"/>
    <w:rPr>
      <w:rFonts w:ascii="Arial" w:hAnsi="Arial" w:eastAsia="Arial" w:cs="Arial"/>
      <w:sz w:val="30"/>
      <w:szCs w:val="30"/>
    </w:rPr>
  </w:style>
  <w:style w:type="character" w:styleId="715" w:customStyle="1">
    <w:name w:val="Заголовок 4 Знак"/>
    <w:link w:val="703"/>
    <w:uiPriority w:val="9"/>
    <w:rPr>
      <w:rFonts w:ascii="Arial" w:hAnsi="Arial" w:eastAsia="Arial" w:cs="Arial"/>
      <w:b/>
      <w:bCs/>
      <w:sz w:val="26"/>
      <w:szCs w:val="26"/>
    </w:rPr>
  </w:style>
  <w:style w:type="character" w:styleId="716" w:customStyle="1">
    <w:name w:val="Заголовок 5 Знак"/>
    <w:link w:val="704"/>
    <w:uiPriority w:val="9"/>
    <w:rPr>
      <w:rFonts w:ascii="Arial" w:hAnsi="Arial" w:eastAsia="Arial" w:cs="Arial"/>
      <w:b/>
      <w:bCs/>
      <w:sz w:val="24"/>
      <w:szCs w:val="24"/>
    </w:rPr>
  </w:style>
  <w:style w:type="character" w:styleId="717" w:customStyle="1">
    <w:name w:val="Заголовок 6 Знак"/>
    <w:link w:val="705"/>
    <w:uiPriority w:val="9"/>
    <w:rPr>
      <w:rFonts w:ascii="Arial" w:hAnsi="Arial" w:eastAsia="Arial" w:cs="Arial"/>
      <w:b/>
      <w:bCs/>
      <w:sz w:val="22"/>
      <w:szCs w:val="22"/>
    </w:rPr>
  </w:style>
  <w:style w:type="character" w:styleId="718" w:customStyle="1">
    <w:name w:val="Заголовок 7 Знак"/>
    <w:link w:val="7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9" w:customStyle="1">
    <w:name w:val="Заголовок 8 Знак"/>
    <w:link w:val="707"/>
    <w:uiPriority w:val="9"/>
    <w:rPr>
      <w:rFonts w:ascii="Arial" w:hAnsi="Arial" w:eastAsia="Arial" w:cs="Arial"/>
      <w:i/>
      <w:iCs/>
      <w:sz w:val="22"/>
      <w:szCs w:val="22"/>
    </w:rPr>
  </w:style>
  <w:style w:type="character" w:styleId="720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paragraph" w:styleId="721">
    <w:name w:val="List Paragraph"/>
    <w:basedOn w:val="699"/>
    <w:uiPriority w:val="34"/>
    <w:qFormat/>
    <w:pPr>
      <w:contextualSpacing/>
      <w:ind w:left="720"/>
    </w:pPr>
  </w:style>
  <w:style w:type="paragraph" w:styleId="722">
    <w:name w:val="No Spacing"/>
    <w:uiPriority w:val="1"/>
    <w:qFormat/>
    <w:rPr>
      <w:lang w:eastAsia="zh-CN"/>
    </w:rPr>
  </w:style>
  <w:style w:type="paragraph" w:styleId="723">
    <w:name w:val="Title"/>
    <w:basedOn w:val="699"/>
    <w:next w:val="699"/>
    <w:link w:val="72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4" w:customStyle="1">
    <w:name w:val="Заголовок Знак"/>
    <w:link w:val="723"/>
    <w:uiPriority w:val="10"/>
    <w:rPr>
      <w:sz w:val="48"/>
      <w:szCs w:val="48"/>
    </w:rPr>
  </w:style>
  <w:style w:type="paragraph" w:styleId="725">
    <w:name w:val="Subtitle"/>
    <w:basedOn w:val="699"/>
    <w:next w:val="699"/>
    <w:link w:val="726"/>
    <w:uiPriority w:val="11"/>
    <w:qFormat/>
    <w:pPr>
      <w:spacing w:before="200" w:after="200"/>
    </w:pPr>
    <w:rPr>
      <w:sz w:val="24"/>
      <w:szCs w:val="24"/>
    </w:rPr>
  </w:style>
  <w:style w:type="character" w:styleId="726" w:customStyle="1">
    <w:name w:val="Подзаголовок Знак"/>
    <w:link w:val="725"/>
    <w:uiPriority w:val="11"/>
    <w:rPr>
      <w:sz w:val="24"/>
      <w:szCs w:val="24"/>
    </w:rPr>
  </w:style>
  <w:style w:type="paragraph" w:styleId="727">
    <w:name w:val="Quote"/>
    <w:basedOn w:val="699"/>
    <w:next w:val="699"/>
    <w:link w:val="728"/>
    <w:uiPriority w:val="29"/>
    <w:qFormat/>
    <w:pPr>
      <w:ind w:left="720" w:right="720"/>
    </w:pPr>
    <w:rPr>
      <w:i/>
    </w:rPr>
  </w:style>
  <w:style w:type="character" w:styleId="728" w:customStyle="1">
    <w:name w:val="Цитата 2 Знак"/>
    <w:link w:val="727"/>
    <w:uiPriority w:val="29"/>
    <w:rPr>
      <w:i/>
    </w:rPr>
  </w:style>
  <w:style w:type="paragraph" w:styleId="729">
    <w:name w:val="Intense Quote"/>
    <w:basedOn w:val="699"/>
    <w:next w:val="699"/>
    <w:link w:val="73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0" w:customStyle="1">
    <w:name w:val="Выделенная цитата Знак"/>
    <w:link w:val="729"/>
    <w:uiPriority w:val="30"/>
    <w:rPr>
      <w:i/>
    </w:rPr>
  </w:style>
  <w:style w:type="paragraph" w:styleId="731">
    <w:name w:val="Header"/>
    <w:basedOn w:val="699"/>
    <w:link w:val="732"/>
    <w:pPr>
      <w:widowControl/>
      <w:tabs>
        <w:tab w:val="center" w:pos="4677" w:leader="none"/>
        <w:tab w:val="right" w:pos="9355" w:leader="none"/>
      </w:tabs>
    </w:pPr>
  </w:style>
  <w:style w:type="character" w:styleId="732" w:customStyle="1">
    <w:name w:val="Верхний колонтитул Знак"/>
    <w:link w:val="731"/>
    <w:uiPriority w:val="99"/>
  </w:style>
  <w:style w:type="paragraph" w:styleId="733">
    <w:name w:val="Footer"/>
    <w:basedOn w:val="699"/>
    <w:link w:val="73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34" w:customStyle="1">
    <w:name w:val="Нижний колонтитул Знак"/>
    <w:link w:val="733"/>
    <w:uiPriority w:val="99"/>
  </w:style>
  <w:style w:type="paragraph" w:styleId="735">
    <w:name w:val="Caption"/>
    <w:basedOn w:val="699"/>
    <w:next w:val="699"/>
    <w:link w:val="736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36" w:customStyle="1">
    <w:name w:val="Название объекта Знак"/>
    <w:link w:val="735"/>
    <w:uiPriority w:val="35"/>
    <w:rPr>
      <w:b/>
      <w:bCs/>
      <w:color w:val="4f81bd"/>
      <w:sz w:val="18"/>
      <w:szCs w:val="18"/>
    </w:rPr>
  </w:style>
  <w:style w:type="table" w:styleId="737">
    <w:name w:val="Table Grid"/>
    <w:basedOn w:val="710"/>
    <w:tblPr/>
  </w:style>
  <w:style w:type="table" w:styleId="738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9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0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2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3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4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79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28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63">
    <w:name w:val="Hyperlink"/>
    <w:uiPriority w:val="99"/>
    <w:unhideWhenUsed/>
    <w:rPr>
      <w:color w:val="0000ff"/>
      <w:u w:val="single"/>
    </w:rPr>
  </w:style>
  <w:style w:type="paragraph" w:styleId="864">
    <w:name w:val="footnote text"/>
    <w:basedOn w:val="699"/>
    <w:link w:val="865"/>
    <w:uiPriority w:val="99"/>
    <w:semiHidden/>
    <w:unhideWhenUsed/>
    <w:pPr>
      <w:spacing w:after="40"/>
    </w:pPr>
    <w:rPr>
      <w:sz w:val="18"/>
    </w:rPr>
  </w:style>
  <w:style w:type="character" w:styleId="865" w:customStyle="1">
    <w:name w:val="Текст сноски Знак"/>
    <w:link w:val="864"/>
    <w:uiPriority w:val="99"/>
    <w:rPr>
      <w:sz w:val="18"/>
    </w:rPr>
  </w:style>
  <w:style w:type="character" w:styleId="866">
    <w:name w:val="footnote reference"/>
    <w:uiPriority w:val="99"/>
    <w:unhideWhenUsed/>
    <w:rPr>
      <w:vertAlign w:val="superscript"/>
    </w:rPr>
  </w:style>
  <w:style w:type="paragraph" w:styleId="867">
    <w:name w:val="endnote text"/>
    <w:basedOn w:val="699"/>
    <w:link w:val="868"/>
    <w:uiPriority w:val="99"/>
    <w:semiHidden/>
    <w:unhideWhenUsed/>
  </w:style>
  <w:style w:type="character" w:styleId="868" w:customStyle="1">
    <w:name w:val="Текст концевой сноски Знак"/>
    <w:link w:val="867"/>
    <w:uiPriority w:val="99"/>
    <w:rPr>
      <w:sz w:val="20"/>
    </w:rPr>
  </w:style>
  <w:style w:type="character" w:styleId="869">
    <w:name w:val="endnote reference"/>
    <w:uiPriority w:val="99"/>
    <w:semiHidden/>
    <w:unhideWhenUsed/>
    <w:rPr>
      <w:vertAlign w:val="superscript"/>
    </w:rPr>
  </w:style>
  <w:style w:type="paragraph" w:styleId="870">
    <w:name w:val="toc 1"/>
    <w:basedOn w:val="699"/>
    <w:next w:val="699"/>
    <w:uiPriority w:val="39"/>
    <w:unhideWhenUsed/>
    <w:pPr>
      <w:spacing w:after="57"/>
    </w:pPr>
  </w:style>
  <w:style w:type="paragraph" w:styleId="871">
    <w:name w:val="toc 2"/>
    <w:basedOn w:val="699"/>
    <w:next w:val="699"/>
    <w:uiPriority w:val="39"/>
    <w:unhideWhenUsed/>
    <w:pPr>
      <w:ind w:left="283"/>
      <w:spacing w:after="57"/>
    </w:pPr>
  </w:style>
  <w:style w:type="paragraph" w:styleId="872">
    <w:name w:val="toc 3"/>
    <w:basedOn w:val="699"/>
    <w:next w:val="699"/>
    <w:uiPriority w:val="39"/>
    <w:unhideWhenUsed/>
    <w:pPr>
      <w:ind w:left="567"/>
      <w:spacing w:after="57"/>
    </w:pPr>
  </w:style>
  <w:style w:type="paragraph" w:styleId="873">
    <w:name w:val="toc 4"/>
    <w:basedOn w:val="699"/>
    <w:next w:val="699"/>
    <w:uiPriority w:val="39"/>
    <w:unhideWhenUsed/>
    <w:pPr>
      <w:ind w:left="850"/>
      <w:spacing w:after="57"/>
    </w:pPr>
  </w:style>
  <w:style w:type="paragraph" w:styleId="874">
    <w:name w:val="toc 5"/>
    <w:basedOn w:val="699"/>
    <w:next w:val="699"/>
    <w:uiPriority w:val="39"/>
    <w:unhideWhenUsed/>
    <w:pPr>
      <w:ind w:left="1134"/>
      <w:spacing w:after="57"/>
    </w:pPr>
  </w:style>
  <w:style w:type="paragraph" w:styleId="875">
    <w:name w:val="toc 6"/>
    <w:basedOn w:val="699"/>
    <w:next w:val="699"/>
    <w:uiPriority w:val="39"/>
    <w:unhideWhenUsed/>
    <w:pPr>
      <w:ind w:left="1417"/>
      <w:spacing w:after="57"/>
    </w:pPr>
  </w:style>
  <w:style w:type="paragraph" w:styleId="876">
    <w:name w:val="toc 7"/>
    <w:basedOn w:val="699"/>
    <w:next w:val="699"/>
    <w:uiPriority w:val="39"/>
    <w:unhideWhenUsed/>
    <w:pPr>
      <w:ind w:left="1701"/>
      <w:spacing w:after="57"/>
    </w:pPr>
  </w:style>
  <w:style w:type="paragraph" w:styleId="877">
    <w:name w:val="toc 8"/>
    <w:basedOn w:val="699"/>
    <w:next w:val="699"/>
    <w:uiPriority w:val="39"/>
    <w:unhideWhenUsed/>
    <w:pPr>
      <w:ind w:left="1984"/>
      <w:spacing w:after="57"/>
    </w:pPr>
  </w:style>
  <w:style w:type="paragraph" w:styleId="878">
    <w:name w:val="toc 9"/>
    <w:basedOn w:val="699"/>
    <w:next w:val="699"/>
    <w:uiPriority w:val="39"/>
    <w:unhideWhenUsed/>
    <w:pPr>
      <w:ind w:left="2268"/>
      <w:spacing w:after="57"/>
    </w:pPr>
  </w:style>
  <w:style w:type="paragraph" w:styleId="879">
    <w:name w:val="TOC Heading"/>
    <w:uiPriority w:val="39"/>
    <w:unhideWhenUsed/>
    <w:rPr>
      <w:lang w:eastAsia="zh-CN"/>
    </w:rPr>
  </w:style>
  <w:style w:type="paragraph" w:styleId="880">
    <w:name w:val="table of figures"/>
    <w:basedOn w:val="699"/>
    <w:next w:val="699"/>
    <w:uiPriority w:val="99"/>
    <w:unhideWhenUsed/>
  </w:style>
  <w:style w:type="character" w:styleId="881">
    <w:name w:val="page number"/>
    <w:basedOn w:val="709"/>
  </w:style>
  <w:style w:type="paragraph" w:styleId="882">
    <w:name w:val="Balloon Text"/>
    <w:basedOn w:val="699"/>
    <w:semiHidden/>
    <w:rPr>
      <w:rFonts w:ascii="Tahoma" w:hAnsi="Tahoma" w:cs="Tahoma"/>
      <w:sz w:val="16"/>
      <w:szCs w:val="16"/>
    </w:rPr>
  </w:style>
  <w:style w:type="paragraph" w:styleId="883">
    <w:name w:val="Document Map"/>
    <w:basedOn w:val="699"/>
    <w:semiHidden/>
    <w:pPr>
      <w:shd w:val="clear" w:color="auto" w:fill="000080"/>
    </w:pPr>
    <w:rPr>
      <w:rFonts w:ascii="Tahoma" w:hAnsi="Tahoma" w:cs="Tahoma"/>
    </w:rPr>
  </w:style>
  <w:style w:type="character" w:styleId="884" w:customStyle="1">
    <w:name w:val="Заголовок 1 Знак"/>
    <w:link w:val="700"/>
    <w:rPr>
      <w:sz w:val="24"/>
      <w:szCs w:val="24"/>
    </w:rPr>
  </w:style>
  <w:style w:type="character" w:styleId="885" w:customStyle="1">
    <w:name w:val="Заголовок 9 Знак"/>
    <w:link w:val="708"/>
    <w:rPr>
      <w:rFonts w:ascii="Calibri Light" w:hAnsi="Calibri Light" w:eastAsia="Times New Roman" w:cs="Times New Roman"/>
      <w:sz w:val="22"/>
      <w:szCs w:val="22"/>
    </w:rPr>
  </w:style>
  <w:style w:type="paragraph" w:styleId="886" w:customStyle="1">
    <w:name w:val="ConsPlusCell"/>
    <w:uiPriority w:val="99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MOFOMS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nikitina</dc:creator>
  <cp:lastModifiedBy>kazanenko_iv</cp:lastModifiedBy>
  <cp:revision>99</cp:revision>
  <dcterms:created xsi:type="dcterms:W3CDTF">2019-11-12T14:00:00Z</dcterms:created>
  <dcterms:modified xsi:type="dcterms:W3CDTF">2026-04-20T11:35:19Z</dcterms:modified>
  <cp:version>1048576</cp:version>
</cp:coreProperties>
</file>